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C2" w:rsidRPr="006452C2" w:rsidRDefault="00D401C2" w:rsidP="00D401C2">
      <w:pPr>
        <w:spacing w:line="276" w:lineRule="auto"/>
        <w:jc w:val="center"/>
        <w:rPr>
          <w:rFonts w:ascii="Calibri" w:eastAsia="Calibri" w:hAnsi="Calibri"/>
          <w:sz w:val="36"/>
          <w:szCs w:val="36"/>
        </w:rPr>
      </w:pPr>
      <w:bookmarkStart w:id="0" w:name="did-not-attend-dna-policy"/>
      <w:r w:rsidRPr="006452C2">
        <w:rPr>
          <w:rFonts w:ascii="Calibri" w:eastAsia="Calibri" w:hAnsi="Calibri"/>
          <w:sz w:val="36"/>
          <w:szCs w:val="36"/>
        </w:rPr>
        <w:t>Oakfield Health Centre</w:t>
      </w:r>
    </w:p>
    <w:p w:rsidR="00D401C2" w:rsidRPr="00171005" w:rsidRDefault="00D401C2" w:rsidP="00D401C2">
      <w:pPr>
        <w:pStyle w:val="NormalWeb"/>
        <w:jc w:val="center"/>
        <w:rPr>
          <w:rFonts w:asciiTheme="minorHAnsi" w:hAnsiTheme="minorHAnsi" w:cstheme="minorHAnsi"/>
          <w:b/>
          <w:color w:val="000000"/>
          <w:sz w:val="36"/>
          <w:szCs w:val="36"/>
        </w:rPr>
      </w:pPr>
      <w:r>
        <w:rPr>
          <w:rFonts w:asciiTheme="minorHAnsi" w:hAnsiTheme="minorHAnsi" w:cstheme="minorHAnsi"/>
          <w:b/>
          <w:color w:val="000000"/>
          <w:sz w:val="36"/>
          <w:szCs w:val="36"/>
        </w:rPr>
        <w:t xml:space="preserve">DNA Policy </w:t>
      </w:r>
    </w:p>
    <w:p w:rsidR="00D401C2" w:rsidRPr="006452C2" w:rsidRDefault="00D401C2" w:rsidP="00D401C2">
      <w:pPr>
        <w:spacing w:line="276" w:lineRule="auto"/>
        <w:jc w:val="center"/>
        <w:rPr>
          <w:rFonts w:ascii="Calibri" w:eastAsia="Calibri" w:hAnsi="Calibri"/>
          <w:sz w:val="36"/>
          <w:szCs w:val="36"/>
        </w:rPr>
      </w:pPr>
    </w:p>
    <w:p w:rsidR="00D401C2" w:rsidRPr="006452C2" w:rsidRDefault="00D401C2" w:rsidP="00D401C2">
      <w:pPr>
        <w:spacing w:line="276" w:lineRule="auto"/>
        <w:rPr>
          <w:rFonts w:ascii="Calibri" w:eastAsia="Calibri" w:hAnsi="Calibri"/>
          <w:b/>
          <w:sz w:val="28"/>
          <w:szCs w:val="28"/>
          <w:u w:val="single"/>
        </w:rPr>
      </w:pPr>
      <w:r w:rsidRPr="006452C2">
        <w:rPr>
          <w:rFonts w:ascii="Calibri" w:eastAsia="Calibri" w:hAnsi="Calibri"/>
          <w:b/>
          <w:sz w:val="28"/>
          <w:szCs w:val="28"/>
          <w:u w:val="single"/>
        </w:rPr>
        <w:t>Document Control</w:t>
      </w:r>
    </w:p>
    <w:p w:rsidR="00D401C2" w:rsidRPr="006452C2" w:rsidRDefault="00D401C2" w:rsidP="00D401C2">
      <w:pPr>
        <w:outlineLvl w:val="2"/>
        <w:rPr>
          <w:rFonts w:ascii="Calibri" w:eastAsia="Arial" w:hAnsi="Calibri" w:cs="Arial"/>
          <w:b/>
          <w:color w:val="000000"/>
          <w:spacing w:val="-2"/>
        </w:rPr>
      </w:pPr>
      <w:r w:rsidRPr="006452C2">
        <w:rPr>
          <w:rFonts w:ascii="Calibri" w:eastAsia="Arial" w:hAnsi="Calibri" w:cs="Arial"/>
          <w:b/>
          <w:color w:val="000000"/>
          <w:spacing w:val="-2"/>
        </w:rPr>
        <w:t>A.</w:t>
      </w:r>
      <w:r w:rsidRPr="006452C2">
        <w:rPr>
          <w:rFonts w:ascii="Calibri" w:eastAsia="Arial" w:hAnsi="Calibri" w:cs="Arial"/>
          <w:b/>
          <w:color w:val="000000"/>
          <w:spacing w:val="-2"/>
        </w:rPr>
        <w:tab/>
        <w:t>Confidentiality Notice</w:t>
      </w:r>
    </w:p>
    <w:p w:rsidR="00D401C2" w:rsidRPr="006452C2" w:rsidRDefault="00D401C2" w:rsidP="00D401C2">
      <w:pPr>
        <w:rPr>
          <w:rFonts w:ascii="Calibri" w:eastAsia="Arial" w:hAnsi="Calibri" w:cs="Arial"/>
          <w:color w:val="000000"/>
          <w:spacing w:val="-2"/>
        </w:rPr>
      </w:pPr>
    </w:p>
    <w:p w:rsidR="00D401C2" w:rsidRPr="006452C2" w:rsidRDefault="00D401C2" w:rsidP="00D401C2">
      <w:pPr>
        <w:jc w:val="both"/>
        <w:rPr>
          <w:rFonts w:ascii="Calibri" w:eastAsia="Arial" w:hAnsi="Calibri" w:cs="Arial"/>
          <w:color w:val="000000"/>
          <w:spacing w:val="-2"/>
        </w:rPr>
      </w:pPr>
      <w:r w:rsidRPr="006452C2">
        <w:rPr>
          <w:rFonts w:ascii="Calibri" w:eastAsia="Arial" w:hAnsi="Calibri" w:cs="Arial"/>
          <w:color w:val="000000"/>
          <w:spacing w:val="-2"/>
        </w:rPr>
        <w:t>This document and the information contained therein is the property of Oakfield Health Centre.</w:t>
      </w:r>
    </w:p>
    <w:p w:rsidR="00D401C2" w:rsidRPr="006452C2" w:rsidRDefault="00D401C2" w:rsidP="00D401C2">
      <w:pPr>
        <w:jc w:val="both"/>
        <w:rPr>
          <w:rFonts w:ascii="Calibri" w:eastAsia="Arial" w:hAnsi="Calibri" w:cs="Arial"/>
          <w:color w:val="000000"/>
          <w:spacing w:val="-2"/>
        </w:rPr>
      </w:pPr>
    </w:p>
    <w:p w:rsidR="00D401C2" w:rsidRPr="006452C2" w:rsidRDefault="00D401C2" w:rsidP="00D401C2">
      <w:pPr>
        <w:jc w:val="both"/>
        <w:rPr>
          <w:rFonts w:ascii="Calibri" w:eastAsia="Arial" w:hAnsi="Calibri" w:cs="Arial"/>
          <w:color w:val="000000"/>
          <w:spacing w:val="-2"/>
        </w:rPr>
      </w:pPr>
      <w:r w:rsidRPr="006452C2">
        <w:rPr>
          <w:rFonts w:ascii="Calibri" w:eastAsia="Arial" w:hAnsi="Calibri" w:cs="Arial"/>
          <w:color w:val="000000"/>
          <w:spacing w:val="-2"/>
        </w:rPr>
        <w:t>This document contains information that is privileged, confidential or otherwise protected from disclosure. It must not be used by, or its contents reproduced or otherwise copied or disclosed without the prior consent in writing from Oakfield Health Centre.</w:t>
      </w:r>
    </w:p>
    <w:p w:rsidR="00D401C2" w:rsidRPr="006452C2" w:rsidRDefault="00D401C2" w:rsidP="00D401C2">
      <w:pPr>
        <w:rPr>
          <w:rFonts w:ascii="Calibri" w:eastAsia="Arial" w:hAnsi="Calibri" w:cs="Arial"/>
          <w:color w:val="000000"/>
          <w:spacing w:val="-2"/>
        </w:rPr>
      </w:pPr>
    </w:p>
    <w:p w:rsidR="00D401C2" w:rsidRPr="006452C2" w:rsidRDefault="00D401C2" w:rsidP="00D401C2">
      <w:pPr>
        <w:spacing w:line="276" w:lineRule="auto"/>
        <w:rPr>
          <w:rFonts w:ascii="Calibri" w:eastAsia="Calibri" w:hAnsi="Calibri"/>
          <w:b/>
          <w:sz w:val="28"/>
          <w:szCs w:val="28"/>
        </w:rPr>
      </w:pPr>
      <w:r w:rsidRPr="006452C2">
        <w:rPr>
          <w:rFonts w:ascii="Calibri" w:eastAsia="Calibri" w:hAnsi="Calibri"/>
          <w:b/>
          <w:sz w:val="28"/>
          <w:szCs w:val="28"/>
        </w:rPr>
        <w:t>B.</w:t>
      </w:r>
      <w:r w:rsidRPr="006452C2">
        <w:rPr>
          <w:rFonts w:ascii="Calibri" w:eastAsia="Calibri" w:hAnsi="Calibri"/>
          <w:b/>
          <w:sz w:val="28"/>
          <w:szCs w:val="28"/>
        </w:rP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401C2" w:rsidRPr="006452C2" w:rsidTr="0035351B">
        <w:tc>
          <w:tcPr>
            <w:tcW w:w="3531" w:type="dxa"/>
            <w:shd w:val="clear" w:color="auto" w:fill="D9D9D9"/>
          </w:tcPr>
          <w:p w:rsidR="00D401C2" w:rsidRPr="006452C2" w:rsidRDefault="00D401C2" w:rsidP="0035351B">
            <w:pPr>
              <w:rPr>
                <w:rFonts w:ascii="Calibri" w:eastAsia="Arial" w:hAnsi="Calibri" w:cs="Arial"/>
                <w:b/>
                <w:caps/>
                <w:color w:val="000000"/>
                <w:spacing w:val="-2"/>
              </w:rPr>
            </w:pPr>
            <w:r w:rsidRPr="006452C2">
              <w:rPr>
                <w:rFonts w:ascii="Calibri" w:eastAsia="Arial" w:hAnsi="Calibri" w:cs="Arial"/>
                <w:b/>
                <w:color w:val="000000"/>
                <w:spacing w:val="-2"/>
              </w:rPr>
              <w:t>Policy Relevant to</w:t>
            </w:r>
          </w:p>
        </w:tc>
        <w:tc>
          <w:tcPr>
            <w:tcW w:w="6057" w:type="dxa"/>
            <w:shd w:val="clear" w:color="auto" w:fill="auto"/>
          </w:tcPr>
          <w:p w:rsidR="00D401C2" w:rsidRPr="006452C2" w:rsidRDefault="007A5945" w:rsidP="0035351B">
            <w:pPr>
              <w:rPr>
                <w:rFonts w:ascii="Calibri" w:eastAsia="Arial" w:hAnsi="Calibri" w:cs="Arial"/>
                <w:color w:val="000000"/>
                <w:spacing w:val="-2"/>
              </w:rPr>
            </w:pPr>
            <w:r>
              <w:rPr>
                <w:rFonts w:ascii="Calibri" w:eastAsia="Arial" w:hAnsi="Calibri" w:cs="Arial"/>
                <w:color w:val="000000"/>
                <w:spacing w:val="-2"/>
              </w:rPr>
              <w:t xml:space="preserve">Everyone </w:t>
            </w:r>
            <w:bookmarkStart w:id="1" w:name="_GoBack"/>
            <w:bookmarkEnd w:id="1"/>
          </w:p>
        </w:tc>
      </w:tr>
      <w:tr w:rsidR="00D401C2" w:rsidRPr="006452C2" w:rsidTr="0035351B">
        <w:tc>
          <w:tcPr>
            <w:tcW w:w="3531" w:type="dxa"/>
            <w:shd w:val="clear" w:color="auto" w:fill="D9D9D9"/>
          </w:tcPr>
          <w:p w:rsidR="00D401C2" w:rsidRPr="006452C2" w:rsidRDefault="00D401C2" w:rsidP="0035351B">
            <w:pPr>
              <w:rPr>
                <w:rFonts w:ascii="Calibri" w:eastAsia="Arial" w:hAnsi="Calibri" w:cs="Arial"/>
                <w:b/>
                <w:caps/>
                <w:color w:val="000000"/>
                <w:spacing w:val="-2"/>
              </w:rPr>
            </w:pPr>
            <w:r w:rsidRPr="006452C2">
              <w:rPr>
                <w:rFonts w:ascii="Calibri" w:eastAsia="Arial" w:hAnsi="Calibri" w:cs="Arial"/>
                <w:b/>
                <w:color w:val="000000"/>
                <w:spacing w:val="-2"/>
              </w:rPr>
              <w:t xml:space="preserve">Author </w:t>
            </w:r>
          </w:p>
        </w:tc>
        <w:tc>
          <w:tcPr>
            <w:tcW w:w="6057" w:type="dxa"/>
            <w:shd w:val="clear" w:color="auto" w:fill="auto"/>
          </w:tcPr>
          <w:p w:rsidR="00D401C2" w:rsidRPr="006452C2" w:rsidRDefault="00D401C2" w:rsidP="0035351B">
            <w:pPr>
              <w:rPr>
                <w:rFonts w:ascii="Calibri" w:eastAsia="Arial" w:hAnsi="Calibri" w:cs="Arial"/>
                <w:color w:val="000000"/>
                <w:spacing w:val="-2"/>
              </w:rPr>
            </w:pPr>
            <w:proofErr w:type="spellStart"/>
            <w:r>
              <w:rPr>
                <w:rFonts w:ascii="Calibri" w:eastAsia="Arial" w:hAnsi="Calibri" w:cs="Arial"/>
                <w:color w:val="000000"/>
                <w:spacing w:val="-2"/>
              </w:rPr>
              <w:t>Dr</w:t>
            </w:r>
            <w:proofErr w:type="spellEnd"/>
            <w:r>
              <w:rPr>
                <w:rFonts w:ascii="Calibri" w:eastAsia="Arial" w:hAnsi="Calibri" w:cs="Arial"/>
                <w:color w:val="000000"/>
                <w:spacing w:val="-2"/>
              </w:rPr>
              <w:t xml:space="preserve"> </w:t>
            </w:r>
            <w:proofErr w:type="spellStart"/>
            <w:r>
              <w:rPr>
                <w:rFonts w:ascii="Calibri" w:eastAsia="Arial" w:hAnsi="Calibri" w:cs="Arial"/>
                <w:color w:val="000000"/>
                <w:spacing w:val="-2"/>
              </w:rPr>
              <w:t>Minhas</w:t>
            </w:r>
            <w:proofErr w:type="spellEnd"/>
          </w:p>
        </w:tc>
      </w:tr>
      <w:tr w:rsidR="00D401C2" w:rsidRPr="006452C2" w:rsidTr="0035351B">
        <w:tc>
          <w:tcPr>
            <w:tcW w:w="3531" w:type="dxa"/>
            <w:shd w:val="clear" w:color="auto" w:fill="D9D9D9"/>
          </w:tcPr>
          <w:p w:rsidR="00D401C2" w:rsidRPr="006452C2" w:rsidRDefault="00D401C2" w:rsidP="0035351B">
            <w:pPr>
              <w:rPr>
                <w:rFonts w:ascii="Calibri" w:eastAsia="Arial" w:hAnsi="Calibri" w:cs="Arial"/>
                <w:b/>
                <w:caps/>
                <w:color w:val="000000"/>
                <w:spacing w:val="-2"/>
              </w:rPr>
            </w:pPr>
            <w:proofErr w:type="spellStart"/>
            <w:r w:rsidRPr="006452C2">
              <w:rPr>
                <w:rFonts w:ascii="Calibri" w:eastAsia="Arial" w:hAnsi="Calibri" w:cs="Arial"/>
                <w:b/>
                <w:color w:val="000000"/>
                <w:spacing w:val="-2"/>
              </w:rPr>
              <w:t>Organisation</w:t>
            </w:r>
            <w:proofErr w:type="spellEnd"/>
            <w:r w:rsidRPr="006452C2">
              <w:rPr>
                <w:rFonts w:ascii="Calibri" w:eastAsia="Arial" w:hAnsi="Calibri" w:cs="Arial"/>
                <w:b/>
                <w:color w:val="000000"/>
                <w:spacing w:val="-2"/>
              </w:rPr>
              <w:t>:</w:t>
            </w:r>
          </w:p>
        </w:tc>
        <w:tc>
          <w:tcPr>
            <w:tcW w:w="6057" w:type="dxa"/>
            <w:shd w:val="clear" w:color="auto" w:fill="auto"/>
          </w:tcPr>
          <w:p w:rsidR="00D401C2" w:rsidRPr="006452C2" w:rsidRDefault="00D401C2" w:rsidP="0035351B">
            <w:pPr>
              <w:rPr>
                <w:rFonts w:ascii="Calibri" w:eastAsia="Arial" w:hAnsi="Calibri" w:cs="Arial"/>
                <w:color w:val="000000"/>
                <w:spacing w:val="-2"/>
              </w:rPr>
            </w:pPr>
            <w:r>
              <w:rPr>
                <w:rFonts w:ascii="Calibri" w:eastAsia="Arial" w:hAnsi="Calibri" w:cs="Arial"/>
                <w:color w:val="000000"/>
                <w:spacing w:val="-2"/>
              </w:rPr>
              <w:t>Oakfield Health Centre</w:t>
            </w:r>
          </w:p>
        </w:tc>
      </w:tr>
      <w:tr w:rsidR="00D401C2" w:rsidRPr="006452C2" w:rsidTr="0035351B">
        <w:tc>
          <w:tcPr>
            <w:tcW w:w="3531" w:type="dxa"/>
            <w:shd w:val="clear" w:color="auto" w:fill="D9D9D9"/>
          </w:tcPr>
          <w:p w:rsidR="00D401C2" w:rsidRPr="006452C2" w:rsidRDefault="00D401C2" w:rsidP="0035351B">
            <w:pPr>
              <w:rPr>
                <w:rFonts w:ascii="Calibri" w:eastAsia="Arial" w:hAnsi="Calibri" w:cs="Arial"/>
                <w:b/>
                <w:caps/>
                <w:color w:val="000000"/>
                <w:spacing w:val="-2"/>
              </w:rPr>
            </w:pPr>
            <w:r w:rsidRPr="006452C2">
              <w:rPr>
                <w:rFonts w:ascii="Calibri" w:eastAsia="Arial" w:hAnsi="Calibri" w:cs="Arial"/>
                <w:b/>
                <w:color w:val="000000"/>
                <w:spacing w:val="-2"/>
              </w:rPr>
              <w:t>Current Version Number:</w:t>
            </w:r>
          </w:p>
        </w:tc>
        <w:tc>
          <w:tcPr>
            <w:tcW w:w="6057" w:type="dxa"/>
            <w:shd w:val="clear" w:color="auto" w:fill="auto"/>
          </w:tcPr>
          <w:p w:rsidR="00D401C2" w:rsidRPr="006452C2" w:rsidRDefault="00D401C2" w:rsidP="0035351B">
            <w:pPr>
              <w:rPr>
                <w:rFonts w:ascii="Calibri" w:eastAsia="Arial" w:hAnsi="Calibri" w:cs="Arial"/>
                <w:color w:val="000000"/>
                <w:spacing w:val="-2"/>
              </w:rPr>
            </w:pPr>
            <w:r>
              <w:rPr>
                <w:rFonts w:ascii="Calibri" w:eastAsia="Arial" w:hAnsi="Calibri" w:cs="Arial"/>
                <w:color w:val="000000"/>
                <w:spacing w:val="-2"/>
              </w:rPr>
              <w:t>1</w:t>
            </w:r>
          </w:p>
        </w:tc>
      </w:tr>
      <w:tr w:rsidR="00D401C2" w:rsidRPr="006452C2" w:rsidTr="0035351B">
        <w:tc>
          <w:tcPr>
            <w:tcW w:w="3531" w:type="dxa"/>
            <w:shd w:val="clear" w:color="auto" w:fill="D9D9D9"/>
          </w:tcPr>
          <w:p w:rsidR="00D401C2" w:rsidRPr="006452C2" w:rsidRDefault="00D401C2" w:rsidP="0035351B">
            <w:pPr>
              <w:rPr>
                <w:rFonts w:ascii="Calibri" w:eastAsia="Arial" w:hAnsi="Calibri" w:cs="Arial"/>
                <w:b/>
                <w:caps/>
                <w:color w:val="000000"/>
                <w:spacing w:val="-2"/>
              </w:rPr>
            </w:pPr>
            <w:r w:rsidRPr="006452C2">
              <w:rPr>
                <w:rFonts w:ascii="Calibri" w:eastAsia="Arial" w:hAnsi="Calibri" w:cs="Arial"/>
                <w:b/>
                <w:color w:val="000000"/>
                <w:spacing w:val="-2"/>
              </w:rPr>
              <w:t>Current Document Approved By:</w:t>
            </w:r>
          </w:p>
        </w:tc>
        <w:tc>
          <w:tcPr>
            <w:tcW w:w="6057" w:type="dxa"/>
            <w:shd w:val="clear" w:color="auto" w:fill="auto"/>
          </w:tcPr>
          <w:p w:rsidR="00D401C2" w:rsidRPr="006452C2" w:rsidRDefault="00D401C2" w:rsidP="0035351B">
            <w:pPr>
              <w:rPr>
                <w:rFonts w:ascii="Calibri" w:eastAsia="Arial" w:hAnsi="Calibri" w:cs="Arial"/>
                <w:color w:val="000000"/>
                <w:spacing w:val="-2"/>
              </w:rPr>
            </w:pPr>
            <w:proofErr w:type="spellStart"/>
            <w:r>
              <w:rPr>
                <w:rFonts w:ascii="Calibri" w:eastAsia="Arial" w:hAnsi="Calibri" w:cs="Arial"/>
                <w:color w:val="000000"/>
                <w:spacing w:val="-2"/>
              </w:rPr>
              <w:t>Dr</w:t>
            </w:r>
            <w:proofErr w:type="spellEnd"/>
            <w:r>
              <w:rPr>
                <w:rFonts w:ascii="Calibri" w:eastAsia="Arial" w:hAnsi="Calibri" w:cs="Arial"/>
                <w:color w:val="000000"/>
                <w:spacing w:val="-2"/>
              </w:rPr>
              <w:t xml:space="preserve"> </w:t>
            </w:r>
            <w:proofErr w:type="spellStart"/>
            <w:r>
              <w:rPr>
                <w:rFonts w:ascii="Calibri" w:eastAsia="Arial" w:hAnsi="Calibri" w:cs="Arial"/>
                <w:color w:val="000000"/>
                <w:spacing w:val="-2"/>
              </w:rPr>
              <w:t>Minhas</w:t>
            </w:r>
            <w:proofErr w:type="spellEnd"/>
            <w:r>
              <w:rPr>
                <w:rFonts w:ascii="Calibri" w:eastAsia="Arial" w:hAnsi="Calibri" w:cs="Arial"/>
                <w:color w:val="000000"/>
                <w:spacing w:val="-2"/>
              </w:rPr>
              <w:t xml:space="preserve"> </w:t>
            </w:r>
          </w:p>
        </w:tc>
      </w:tr>
      <w:tr w:rsidR="00D401C2" w:rsidRPr="006452C2" w:rsidTr="0035351B">
        <w:tc>
          <w:tcPr>
            <w:tcW w:w="3531" w:type="dxa"/>
            <w:shd w:val="clear" w:color="auto" w:fill="D9D9D9"/>
          </w:tcPr>
          <w:p w:rsidR="00D401C2" w:rsidRPr="006452C2" w:rsidRDefault="00D401C2" w:rsidP="0035351B">
            <w:pPr>
              <w:rPr>
                <w:rFonts w:ascii="Calibri" w:eastAsia="Arial" w:hAnsi="Calibri" w:cs="Arial"/>
                <w:b/>
                <w:color w:val="000000"/>
                <w:spacing w:val="-2"/>
              </w:rPr>
            </w:pPr>
            <w:r w:rsidRPr="006452C2">
              <w:rPr>
                <w:rFonts w:ascii="Calibri" w:eastAsia="Arial" w:hAnsi="Calibri" w:cs="Arial"/>
                <w:b/>
                <w:color w:val="000000"/>
                <w:spacing w:val="-2"/>
              </w:rPr>
              <w:t>Date Approved:</w:t>
            </w:r>
          </w:p>
        </w:tc>
        <w:tc>
          <w:tcPr>
            <w:tcW w:w="6057" w:type="dxa"/>
            <w:shd w:val="clear" w:color="auto" w:fill="auto"/>
          </w:tcPr>
          <w:p w:rsidR="00D401C2" w:rsidRPr="006452C2" w:rsidRDefault="009A5414" w:rsidP="0035351B">
            <w:pPr>
              <w:rPr>
                <w:rFonts w:ascii="Calibri" w:eastAsia="Arial" w:hAnsi="Calibri" w:cs="Arial"/>
                <w:color w:val="000000"/>
                <w:spacing w:val="-2"/>
              </w:rPr>
            </w:pPr>
            <w:r>
              <w:rPr>
                <w:rFonts w:ascii="Calibri" w:eastAsia="Arial" w:hAnsi="Calibri" w:cs="Arial"/>
                <w:color w:val="000000"/>
                <w:spacing w:val="-2"/>
              </w:rPr>
              <w:t>07/05/2026</w:t>
            </w:r>
          </w:p>
        </w:tc>
      </w:tr>
    </w:tbl>
    <w:p w:rsidR="00D401C2" w:rsidRPr="006452C2" w:rsidRDefault="00D401C2" w:rsidP="00D401C2">
      <w:pPr>
        <w:spacing w:line="276" w:lineRule="auto"/>
        <w:rPr>
          <w:rFonts w:ascii="Calibri" w:eastAsia="Calibri" w:hAnsi="Calibri"/>
          <w:b/>
          <w:sz w:val="28"/>
          <w:szCs w:val="28"/>
        </w:rPr>
      </w:pPr>
    </w:p>
    <w:p w:rsidR="00D401C2" w:rsidRPr="006452C2" w:rsidRDefault="00D401C2" w:rsidP="00D401C2">
      <w:pPr>
        <w:outlineLvl w:val="2"/>
        <w:rPr>
          <w:rFonts w:ascii="Calibri" w:eastAsia="Arial" w:hAnsi="Calibri" w:cs="Arial"/>
          <w:b/>
          <w:color w:val="000000"/>
          <w:spacing w:val="-2"/>
        </w:rPr>
      </w:pPr>
      <w:r w:rsidRPr="006452C2">
        <w:rPr>
          <w:rFonts w:ascii="Calibri" w:eastAsia="Arial" w:hAnsi="Calibri" w:cs="Arial"/>
          <w:b/>
          <w:color w:val="000000"/>
          <w:spacing w:val="-2"/>
        </w:rPr>
        <w:t>C.</w:t>
      </w:r>
      <w:r w:rsidRPr="006452C2">
        <w:rPr>
          <w:rFonts w:ascii="Calibri" w:eastAsia="Arial" w:hAnsi="Calibri" w:cs="Arial"/>
          <w:b/>
          <w:color w:val="000000"/>
          <w:spacing w:val="-2"/>
        </w:rPr>
        <w:tab/>
        <w:t>Document Revision and Approval History</w:t>
      </w:r>
    </w:p>
    <w:p w:rsidR="00D401C2" w:rsidRPr="006452C2" w:rsidRDefault="00D401C2" w:rsidP="00D401C2">
      <w:pPr>
        <w:rPr>
          <w:rFonts w:ascii="Calibri" w:eastAsia="Arial" w:hAnsi="Calibri" w:cs="Arial"/>
          <w:color w:val="000000"/>
          <w:spacing w:val="-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258"/>
        <w:gridCol w:w="2139"/>
        <w:gridCol w:w="2378"/>
        <w:gridCol w:w="2732"/>
      </w:tblGrid>
      <w:tr w:rsidR="00D401C2" w:rsidRPr="006452C2" w:rsidTr="0035351B">
        <w:tc>
          <w:tcPr>
            <w:tcW w:w="1081" w:type="dxa"/>
            <w:shd w:val="clear" w:color="auto" w:fill="D9D9D9"/>
          </w:tcPr>
          <w:p w:rsidR="00D401C2" w:rsidRPr="006452C2" w:rsidRDefault="00D401C2" w:rsidP="0035351B">
            <w:pPr>
              <w:jc w:val="center"/>
              <w:rPr>
                <w:rFonts w:ascii="Calibri" w:eastAsia="Arial" w:hAnsi="Calibri" w:cs="Arial"/>
                <w:b/>
                <w:color w:val="000000"/>
                <w:spacing w:val="-2"/>
              </w:rPr>
            </w:pPr>
            <w:r w:rsidRPr="006452C2">
              <w:rPr>
                <w:rFonts w:ascii="Calibri" w:eastAsia="Arial" w:hAnsi="Calibri" w:cs="Arial"/>
                <w:b/>
                <w:color w:val="000000"/>
                <w:spacing w:val="-2"/>
              </w:rPr>
              <w:t>Version</w:t>
            </w:r>
          </w:p>
        </w:tc>
        <w:tc>
          <w:tcPr>
            <w:tcW w:w="1258" w:type="dxa"/>
            <w:shd w:val="clear" w:color="auto" w:fill="D9D9D9"/>
          </w:tcPr>
          <w:p w:rsidR="00D401C2" w:rsidRPr="006452C2" w:rsidRDefault="00D401C2" w:rsidP="0035351B">
            <w:pPr>
              <w:jc w:val="center"/>
              <w:rPr>
                <w:rFonts w:ascii="Calibri" w:eastAsia="Arial" w:hAnsi="Calibri" w:cs="Arial"/>
                <w:b/>
                <w:color w:val="000000"/>
                <w:spacing w:val="-2"/>
              </w:rPr>
            </w:pPr>
            <w:r w:rsidRPr="006452C2">
              <w:rPr>
                <w:rFonts w:ascii="Calibri" w:eastAsia="Arial" w:hAnsi="Calibri" w:cs="Arial"/>
                <w:b/>
                <w:color w:val="000000"/>
                <w:spacing w:val="-2"/>
              </w:rPr>
              <w:t>Date</w:t>
            </w:r>
          </w:p>
        </w:tc>
        <w:tc>
          <w:tcPr>
            <w:tcW w:w="2139" w:type="dxa"/>
            <w:shd w:val="clear" w:color="auto" w:fill="D9D9D9"/>
          </w:tcPr>
          <w:p w:rsidR="00D401C2" w:rsidRPr="006452C2" w:rsidRDefault="00D401C2" w:rsidP="0035351B">
            <w:pPr>
              <w:jc w:val="center"/>
              <w:rPr>
                <w:rFonts w:ascii="Calibri" w:eastAsia="Arial" w:hAnsi="Calibri" w:cs="Arial"/>
                <w:b/>
                <w:color w:val="000000"/>
                <w:spacing w:val="-2"/>
              </w:rPr>
            </w:pPr>
            <w:r w:rsidRPr="006452C2">
              <w:rPr>
                <w:rFonts w:ascii="Calibri" w:eastAsia="Arial" w:hAnsi="Calibri" w:cs="Arial"/>
                <w:b/>
                <w:color w:val="000000"/>
                <w:spacing w:val="-2"/>
              </w:rPr>
              <w:t>Version Created By:</w:t>
            </w:r>
          </w:p>
        </w:tc>
        <w:tc>
          <w:tcPr>
            <w:tcW w:w="2378" w:type="dxa"/>
            <w:shd w:val="clear" w:color="auto" w:fill="D9D9D9"/>
          </w:tcPr>
          <w:p w:rsidR="00D401C2" w:rsidRPr="006452C2" w:rsidRDefault="00D401C2" w:rsidP="0035351B">
            <w:pPr>
              <w:jc w:val="center"/>
              <w:rPr>
                <w:rFonts w:ascii="Calibri" w:eastAsia="Arial" w:hAnsi="Calibri" w:cs="Arial"/>
                <w:b/>
                <w:color w:val="000000"/>
                <w:spacing w:val="-2"/>
              </w:rPr>
            </w:pPr>
            <w:r w:rsidRPr="006452C2">
              <w:rPr>
                <w:rFonts w:ascii="Calibri" w:eastAsia="Arial" w:hAnsi="Calibri" w:cs="Arial"/>
                <w:b/>
                <w:color w:val="000000"/>
                <w:spacing w:val="-2"/>
              </w:rPr>
              <w:t>Version Approved By:</w:t>
            </w:r>
          </w:p>
        </w:tc>
        <w:tc>
          <w:tcPr>
            <w:tcW w:w="2732" w:type="dxa"/>
            <w:shd w:val="clear" w:color="auto" w:fill="D9D9D9"/>
          </w:tcPr>
          <w:p w:rsidR="00D401C2" w:rsidRPr="006452C2" w:rsidRDefault="00D401C2" w:rsidP="0035351B">
            <w:pPr>
              <w:jc w:val="center"/>
              <w:rPr>
                <w:rFonts w:ascii="Calibri" w:eastAsia="Arial" w:hAnsi="Calibri" w:cs="Arial"/>
                <w:b/>
                <w:color w:val="000000"/>
                <w:spacing w:val="-2"/>
              </w:rPr>
            </w:pPr>
            <w:r w:rsidRPr="006452C2">
              <w:rPr>
                <w:rFonts w:ascii="Calibri" w:eastAsia="Arial" w:hAnsi="Calibri" w:cs="Arial"/>
                <w:b/>
                <w:color w:val="000000"/>
                <w:spacing w:val="-2"/>
              </w:rPr>
              <w:t>Comments</w:t>
            </w:r>
          </w:p>
        </w:tc>
      </w:tr>
      <w:tr w:rsidR="00D401C2" w:rsidRPr="006452C2" w:rsidTr="0035351B">
        <w:tc>
          <w:tcPr>
            <w:tcW w:w="1081" w:type="dxa"/>
            <w:shd w:val="clear" w:color="auto" w:fill="auto"/>
          </w:tcPr>
          <w:p w:rsidR="00D401C2" w:rsidRPr="006452C2" w:rsidRDefault="00D401C2" w:rsidP="0035351B">
            <w:pPr>
              <w:rPr>
                <w:rFonts w:ascii="Calibri" w:eastAsia="Arial" w:hAnsi="Calibri" w:cs="Arial"/>
                <w:color w:val="000000"/>
                <w:spacing w:val="-2"/>
                <w:sz w:val="20"/>
                <w:szCs w:val="20"/>
              </w:rPr>
            </w:pPr>
            <w:r>
              <w:rPr>
                <w:rFonts w:ascii="Calibri" w:eastAsia="Arial" w:hAnsi="Calibri" w:cs="Arial"/>
                <w:color w:val="000000"/>
                <w:spacing w:val="-2"/>
                <w:sz w:val="20"/>
                <w:szCs w:val="20"/>
              </w:rPr>
              <w:t>1</w:t>
            </w:r>
          </w:p>
        </w:tc>
        <w:tc>
          <w:tcPr>
            <w:tcW w:w="1258" w:type="dxa"/>
            <w:shd w:val="clear" w:color="auto" w:fill="auto"/>
          </w:tcPr>
          <w:p w:rsidR="00D401C2" w:rsidRPr="006452C2" w:rsidRDefault="009A5414" w:rsidP="0035351B">
            <w:pPr>
              <w:rPr>
                <w:rFonts w:ascii="Calibri" w:eastAsia="Arial" w:hAnsi="Calibri" w:cs="Arial"/>
                <w:color w:val="000000"/>
                <w:spacing w:val="-2"/>
                <w:sz w:val="20"/>
                <w:szCs w:val="20"/>
              </w:rPr>
            </w:pPr>
            <w:r>
              <w:rPr>
                <w:rFonts w:ascii="Calibri" w:eastAsia="Arial" w:hAnsi="Calibri" w:cs="Arial"/>
                <w:color w:val="000000"/>
                <w:spacing w:val="-2"/>
                <w:sz w:val="20"/>
                <w:szCs w:val="20"/>
              </w:rPr>
              <w:t xml:space="preserve">07/05/2026 </w:t>
            </w:r>
          </w:p>
        </w:tc>
        <w:tc>
          <w:tcPr>
            <w:tcW w:w="2139" w:type="dxa"/>
            <w:shd w:val="clear" w:color="auto" w:fill="auto"/>
          </w:tcPr>
          <w:p w:rsidR="00D401C2" w:rsidRPr="006452C2" w:rsidRDefault="00D401C2" w:rsidP="0035351B">
            <w:pPr>
              <w:rPr>
                <w:rFonts w:ascii="Calibri" w:eastAsia="Arial" w:hAnsi="Calibri" w:cs="Arial"/>
                <w:color w:val="000000"/>
                <w:spacing w:val="-2"/>
                <w:sz w:val="20"/>
                <w:szCs w:val="20"/>
              </w:rPr>
            </w:pPr>
            <w:proofErr w:type="spellStart"/>
            <w:r>
              <w:rPr>
                <w:rFonts w:ascii="Calibri" w:eastAsia="Arial" w:hAnsi="Calibri" w:cs="Arial"/>
                <w:color w:val="000000"/>
                <w:spacing w:val="-2"/>
                <w:sz w:val="20"/>
                <w:szCs w:val="20"/>
              </w:rPr>
              <w:t>Dr</w:t>
            </w:r>
            <w:proofErr w:type="spellEnd"/>
            <w:r>
              <w:rPr>
                <w:rFonts w:ascii="Calibri" w:eastAsia="Arial" w:hAnsi="Calibri" w:cs="Arial"/>
                <w:color w:val="000000"/>
                <w:spacing w:val="-2"/>
                <w:sz w:val="20"/>
                <w:szCs w:val="20"/>
              </w:rPr>
              <w:t xml:space="preserve"> </w:t>
            </w:r>
            <w:proofErr w:type="spellStart"/>
            <w:r>
              <w:rPr>
                <w:rFonts w:ascii="Calibri" w:eastAsia="Arial" w:hAnsi="Calibri" w:cs="Arial"/>
                <w:color w:val="000000"/>
                <w:spacing w:val="-2"/>
                <w:sz w:val="20"/>
                <w:szCs w:val="20"/>
              </w:rPr>
              <w:t>Minhas</w:t>
            </w:r>
            <w:proofErr w:type="spellEnd"/>
          </w:p>
        </w:tc>
        <w:tc>
          <w:tcPr>
            <w:tcW w:w="2378" w:type="dxa"/>
            <w:shd w:val="clear" w:color="auto" w:fill="auto"/>
          </w:tcPr>
          <w:p w:rsidR="00D401C2" w:rsidRPr="006452C2" w:rsidRDefault="009A5414" w:rsidP="0035351B">
            <w:pPr>
              <w:rPr>
                <w:rFonts w:ascii="Calibri" w:eastAsia="Arial" w:hAnsi="Calibri" w:cs="Arial"/>
                <w:color w:val="000000"/>
                <w:spacing w:val="-2"/>
                <w:sz w:val="20"/>
                <w:szCs w:val="20"/>
              </w:rPr>
            </w:pPr>
            <w:proofErr w:type="spellStart"/>
            <w:r>
              <w:rPr>
                <w:rFonts w:ascii="Calibri" w:eastAsia="Arial" w:hAnsi="Calibri" w:cs="Arial"/>
                <w:color w:val="000000"/>
                <w:spacing w:val="-2"/>
                <w:sz w:val="20"/>
                <w:szCs w:val="20"/>
              </w:rPr>
              <w:t>Dr</w:t>
            </w:r>
            <w:proofErr w:type="spellEnd"/>
            <w:r>
              <w:rPr>
                <w:rFonts w:ascii="Calibri" w:eastAsia="Arial" w:hAnsi="Calibri" w:cs="Arial"/>
                <w:color w:val="000000"/>
                <w:spacing w:val="-2"/>
                <w:sz w:val="20"/>
                <w:szCs w:val="20"/>
              </w:rPr>
              <w:t xml:space="preserve"> </w:t>
            </w:r>
            <w:proofErr w:type="spellStart"/>
            <w:r>
              <w:rPr>
                <w:rFonts w:ascii="Calibri" w:eastAsia="Arial" w:hAnsi="Calibri" w:cs="Arial"/>
                <w:color w:val="000000"/>
                <w:spacing w:val="-2"/>
                <w:sz w:val="20"/>
                <w:szCs w:val="20"/>
              </w:rPr>
              <w:t>Minhas</w:t>
            </w:r>
            <w:proofErr w:type="spellEnd"/>
            <w:r>
              <w:rPr>
                <w:rFonts w:ascii="Calibri" w:eastAsia="Arial" w:hAnsi="Calibri" w:cs="Arial"/>
                <w:color w:val="000000"/>
                <w:spacing w:val="-2"/>
                <w:sz w:val="20"/>
                <w:szCs w:val="20"/>
              </w:rPr>
              <w:t xml:space="preserve"> </w:t>
            </w:r>
          </w:p>
        </w:tc>
        <w:tc>
          <w:tcPr>
            <w:tcW w:w="2732" w:type="dxa"/>
            <w:shd w:val="clear" w:color="auto" w:fill="auto"/>
          </w:tcPr>
          <w:p w:rsidR="00D401C2" w:rsidRPr="006452C2" w:rsidRDefault="00D401C2" w:rsidP="0035351B">
            <w:pPr>
              <w:rPr>
                <w:rFonts w:ascii="Calibri" w:eastAsia="Arial" w:hAnsi="Calibri" w:cs="Arial"/>
                <w:color w:val="000000"/>
                <w:spacing w:val="-2"/>
                <w:sz w:val="20"/>
                <w:szCs w:val="20"/>
              </w:rPr>
            </w:pPr>
            <w:r>
              <w:rPr>
                <w:rFonts w:ascii="Calibri" w:eastAsia="Arial" w:hAnsi="Calibri" w:cs="Arial"/>
                <w:color w:val="000000"/>
                <w:spacing w:val="-2"/>
                <w:sz w:val="20"/>
                <w:szCs w:val="20"/>
              </w:rPr>
              <w:t>Approved</w:t>
            </w:r>
          </w:p>
        </w:tc>
      </w:tr>
      <w:tr w:rsidR="00D401C2" w:rsidRPr="006452C2" w:rsidTr="0035351B">
        <w:tc>
          <w:tcPr>
            <w:tcW w:w="1081"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1258"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139"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378"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732" w:type="dxa"/>
            <w:shd w:val="clear" w:color="auto" w:fill="auto"/>
          </w:tcPr>
          <w:p w:rsidR="00D401C2" w:rsidRPr="006452C2" w:rsidRDefault="00D401C2" w:rsidP="0035351B">
            <w:pPr>
              <w:rPr>
                <w:rFonts w:ascii="Calibri" w:eastAsia="Arial" w:hAnsi="Calibri" w:cs="Arial"/>
                <w:color w:val="000000"/>
                <w:spacing w:val="-2"/>
                <w:sz w:val="20"/>
                <w:szCs w:val="20"/>
              </w:rPr>
            </w:pPr>
          </w:p>
        </w:tc>
      </w:tr>
      <w:tr w:rsidR="00D401C2" w:rsidRPr="006452C2" w:rsidTr="0035351B">
        <w:tc>
          <w:tcPr>
            <w:tcW w:w="1081"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1258"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139"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378" w:type="dxa"/>
            <w:shd w:val="clear" w:color="auto" w:fill="auto"/>
          </w:tcPr>
          <w:p w:rsidR="00D401C2" w:rsidRPr="006452C2" w:rsidRDefault="00D401C2" w:rsidP="0035351B">
            <w:pPr>
              <w:rPr>
                <w:rFonts w:ascii="Calibri" w:eastAsia="Arial" w:hAnsi="Calibri" w:cs="Arial"/>
                <w:color w:val="000000"/>
                <w:spacing w:val="-2"/>
                <w:sz w:val="20"/>
                <w:szCs w:val="20"/>
              </w:rPr>
            </w:pPr>
          </w:p>
        </w:tc>
        <w:tc>
          <w:tcPr>
            <w:tcW w:w="2732" w:type="dxa"/>
            <w:shd w:val="clear" w:color="auto" w:fill="auto"/>
          </w:tcPr>
          <w:p w:rsidR="00D401C2" w:rsidRPr="006452C2" w:rsidRDefault="00D401C2" w:rsidP="0035351B">
            <w:pPr>
              <w:rPr>
                <w:rFonts w:ascii="Calibri" w:eastAsia="Arial" w:hAnsi="Calibri" w:cs="Arial"/>
                <w:color w:val="000000"/>
                <w:spacing w:val="-2"/>
                <w:sz w:val="20"/>
                <w:szCs w:val="20"/>
              </w:rPr>
            </w:pPr>
          </w:p>
        </w:tc>
      </w:tr>
    </w:tbl>
    <w:p w:rsidR="00660F01" w:rsidRDefault="00C34AA5">
      <w:pPr>
        <w:pStyle w:val="Heading1"/>
      </w:pPr>
      <w:r>
        <w:t>Did Not Attend (DNA) Policy</w:t>
      </w:r>
    </w:p>
    <w:p w:rsidR="00660F01" w:rsidRDefault="00C34AA5">
      <w:pPr>
        <w:pStyle w:val="Heading2"/>
      </w:pPr>
      <w:bookmarkStart w:id="2" w:name="policy-title"/>
      <w:r>
        <w:t>Policy Title</w:t>
      </w:r>
    </w:p>
    <w:p w:rsidR="00660F01" w:rsidRDefault="00C34AA5">
      <w:pPr>
        <w:pStyle w:val="FirstParagraph"/>
      </w:pPr>
      <w:r>
        <w:t>Did Not Attend (DNA) Policy</w:t>
      </w:r>
    </w:p>
    <w:p w:rsidR="00660F01" w:rsidRDefault="00C34AA5">
      <w:pPr>
        <w:pStyle w:val="Heading2"/>
      </w:pPr>
      <w:bookmarkStart w:id="3" w:name="policy-owner"/>
      <w:bookmarkEnd w:id="2"/>
      <w:r>
        <w:t>Policy Owner</w:t>
      </w:r>
    </w:p>
    <w:p w:rsidR="00660F01" w:rsidRDefault="00C34AA5">
      <w:pPr>
        <w:pStyle w:val="FirstParagraph"/>
      </w:pPr>
      <w:r>
        <w:t>Practice Manager</w:t>
      </w:r>
    </w:p>
    <w:p w:rsidR="00660F01" w:rsidRDefault="00C34AA5">
      <w:pPr>
        <w:pStyle w:val="Heading2"/>
      </w:pPr>
      <w:bookmarkStart w:id="4" w:name="approved-by"/>
      <w:bookmarkEnd w:id="3"/>
      <w:r>
        <w:t>Approved By</w:t>
      </w:r>
    </w:p>
    <w:p w:rsidR="00660F01" w:rsidRDefault="00C34AA5">
      <w:pPr>
        <w:pStyle w:val="FirstParagraph"/>
      </w:pPr>
      <w:r>
        <w:t>GP Partners</w:t>
      </w:r>
    </w:p>
    <w:p w:rsidR="00660F01" w:rsidRDefault="00C34AA5">
      <w:pPr>
        <w:pStyle w:val="Heading2"/>
      </w:pPr>
      <w:bookmarkStart w:id="5" w:name="review-date"/>
      <w:bookmarkEnd w:id="4"/>
      <w:r>
        <w:t>Review Date</w:t>
      </w:r>
    </w:p>
    <w:p w:rsidR="00660F01" w:rsidRDefault="00D401C2">
      <w:pPr>
        <w:pStyle w:val="FirstParagraph"/>
      </w:pPr>
      <w:r>
        <w:rPr>
          <w:noProof/>
          <w:lang w:val="en-GB" w:eastAsia="en-GB"/>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730875" cy="3051810"/>
            <wp:effectExtent l="0" t="0" r="3175" b="0"/>
            <wp:wrapNone/>
            <wp:docPr id="2" name="Picture 2" descr="Oakfield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401064" descr="Oakfield Logo 2"/>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5730875" cy="3051810"/>
                    </a:xfrm>
                    <a:prstGeom prst="rect">
                      <a:avLst/>
                    </a:prstGeom>
                    <a:noFill/>
                  </pic:spPr>
                </pic:pic>
              </a:graphicData>
            </a:graphic>
            <wp14:sizeRelH relativeFrom="page">
              <wp14:pctWidth>0</wp14:pctWidth>
            </wp14:sizeRelH>
            <wp14:sizeRelV relativeFrom="page">
              <wp14:pctHeight>0</wp14:pctHeight>
            </wp14:sizeRelV>
          </wp:anchor>
        </w:drawing>
      </w:r>
      <w:r w:rsidR="00C34AA5">
        <w:t>Annually or sooner if national guidance changes</w:t>
      </w:r>
    </w:p>
    <w:p w:rsidR="00660F01" w:rsidRDefault="007A5945">
      <w:r>
        <w:pict>
          <v:rect id="_x0000_i1025" style="width:0;height:1.5pt" o:hralign="center" o:hrstd="t" o:hr="t"/>
        </w:pict>
      </w:r>
    </w:p>
    <w:p w:rsidR="00660F01" w:rsidRDefault="00C34AA5">
      <w:pPr>
        <w:pStyle w:val="Heading1"/>
      </w:pPr>
      <w:bookmarkStart w:id="6" w:name="introduction"/>
      <w:bookmarkEnd w:id="5"/>
      <w:bookmarkEnd w:id="0"/>
      <w:r>
        <w:t>1. Introduction</w:t>
      </w:r>
    </w:p>
    <w:p w:rsidR="00660F01" w:rsidRDefault="00C34AA5">
      <w:pPr>
        <w:pStyle w:val="FirstParagraph"/>
      </w:pPr>
      <w:r>
        <w:t>This policy outlines the procedure followed by the practice when patients fail to attend booked appointments without providing sufficient notice of cancellation. The policy aims to support fair access to appointments, reduce wasted clinical time, and ensure that NHS resources are used effectively.</w:t>
      </w:r>
    </w:p>
    <w:p w:rsidR="00660F01" w:rsidRDefault="00C34AA5">
      <w:pPr>
        <w:pStyle w:val="BodyText"/>
      </w:pPr>
      <w:r>
        <w:t>The practice recognises that patients may occasionally be unable to attend appointments due to unforeseen circumstances. Patients are therefore encouraged to contact the practice as soon as possible if they need to cancel or rearrange an appointment.</w:t>
      </w:r>
    </w:p>
    <w:p w:rsidR="00660F01" w:rsidRDefault="00C34AA5">
      <w:pPr>
        <w:pStyle w:val="BodyText"/>
      </w:pPr>
      <w:r>
        <w:t>This policy has been developed in line with NHS England guidance regarding missed appointments (Did Not Attend – DNA), patient access, and GP practice list management.</w:t>
      </w:r>
    </w:p>
    <w:p w:rsidR="00660F01" w:rsidRDefault="007A5945">
      <w:r>
        <w:pict>
          <v:rect id="_x0000_i1026" style="width:0;height:1.5pt" o:hralign="center" o:hrstd="t" o:hr="t"/>
        </w:pict>
      </w:r>
    </w:p>
    <w:p w:rsidR="00660F01" w:rsidRDefault="00C34AA5">
      <w:pPr>
        <w:pStyle w:val="Heading1"/>
      </w:pPr>
      <w:bookmarkStart w:id="7" w:name="purpose"/>
      <w:bookmarkEnd w:id="6"/>
      <w:r>
        <w:t>2. Purpose</w:t>
      </w:r>
    </w:p>
    <w:p w:rsidR="00660F01" w:rsidRDefault="00C34AA5">
      <w:pPr>
        <w:pStyle w:val="FirstParagraph"/>
      </w:pPr>
      <w:r>
        <w:t>The purpose of this policy is to:</w:t>
      </w:r>
    </w:p>
    <w:p w:rsidR="00660F01" w:rsidRDefault="00C34AA5">
      <w:pPr>
        <w:pStyle w:val="Compact"/>
        <w:numPr>
          <w:ilvl w:val="0"/>
          <w:numId w:val="2"/>
        </w:numPr>
      </w:pPr>
      <w:r>
        <w:t>Reduce the number of missed appointments.</w:t>
      </w:r>
    </w:p>
    <w:p w:rsidR="00660F01" w:rsidRDefault="00C34AA5">
      <w:pPr>
        <w:pStyle w:val="Compact"/>
        <w:numPr>
          <w:ilvl w:val="0"/>
          <w:numId w:val="2"/>
        </w:numPr>
      </w:pPr>
      <w:r>
        <w:lastRenderedPageBreak/>
        <w:t>Improve appointment availability for all patients.</w:t>
      </w:r>
    </w:p>
    <w:p w:rsidR="00660F01" w:rsidRDefault="00C34AA5">
      <w:pPr>
        <w:pStyle w:val="Compact"/>
        <w:numPr>
          <w:ilvl w:val="0"/>
          <w:numId w:val="2"/>
        </w:numPr>
      </w:pPr>
      <w:r>
        <w:t>Ensure fair and consistent management of repeated non-attendance.</w:t>
      </w:r>
    </w:p>
    <w:p w:rsidR="00660F01" w:rsidRDefault="00C34AA5">
      <w:pPr>
        <w:pStyle w:val="Compact"/>
        <w:numPr>
          <w:ilvl w:val="0"/>
          <w:numId w:val="2"/>
        </w:numPr>
      </w:pPr>
      <w:r>
        <w:t>Encourage patients to cancel appointments they cannot attend.</w:t>
      </w:r>
    </w:p>
    <w:p w:rsidR="00660F01" w:rsidRDefault="00C34AA5">
      <w:pPr>
        <w:pStyle w:val="Compact"/>
        <w:numPr>
          <w:ilvl w:val="0"/>
          <w:numId w:val="2"/>
        </w:numPr>
      </w:pPr>
      <w:r>
        <w:t>Support effective use of NHS resources.</w:t>
      </w:r>
    </w:p>
    <w:p w:rsidR="00660F01" w:rsidRDefault="007A5945">
      <w:r>
        <w:pict>
          <v:rect id="_x0000_i1027" style="width:0;height:1.5pt" o:hralign="center" o:hrstd="t" o:hr="t"/>
        </w:pict>
      </w:r>
    </w:p>
    <w:p w:rsidR="00660F01" w:rsidRDefault="00C34AA5">
      <w:pPr>
        <w:pStyle w:val="Heading1"/>
      </w:pPr>
      <w:bookmarkStart w:id="8" w:name="scope"/>
      <w:bookmarkEnd w:id="7"/>
      <w:r>
        <w:t>3. Scope</w:t>
      </w:r>
    </w:p>
    <w:p w:rsidR="00660F01" w:rsidRDefault="00C34AA5">
      <w:pPr>
        <w:pStyle w:val="FirstParagraph"/>
      </w:pPr>
      <w:r>
        <w:t>This policy applies to all patients registered with the practice and covers:</w:t>
      </w:r>
    </w:p>
    <w:p w:rsidR="00660F01" w:rsidRDefault="00C34AA5">
      <w:pPr>
        <w:pStyle w:val="Compact"/>
        <w:numPr>
          <w:ilvl w:val="0"/>
          <w:numId w:val="3"/>
        </w:numPr>
      </w:pPr>
      <w:r>
        <w:t>GP appointments</w:t>
      </w:r>
    </w:p>
    <w:p w:rsidR="00660F01" w:rsidRDefault="00C34AA5">
      <w:pPr>
        <w:pStyle w:val="Compact"/>
        <w:numPr>
          <w:ilvl w:val="0"/>
          <w:numId w:val="3"/>
        </w:numPr>
      </w:pPr>
      <w:r>
        <w:t>Nurse appointments</w:t>
      </w:r>
    </w:p>
    <w:p w:rsidR="00660F01" w:rsidRDefault="00C34AA5">
      <w:pPr>
        <w:pStyle w:val="Compact"/>
        <w:numPr>
          <w:ilvl w:val="0"/>
          <w:numId w:val="3"/>
        </w:numPr>
      </w:pPr>
      <w:r>
        <w:t>Healthcare assistant appointments</w:t>
      </w:r>
    </w:p>
    <w:p w:rsidR="00660F01" w:rsidRDefault="00C34AA5">
      <w:pPr>
        <w:pStyle w:val="Compact"/>
        <w:numPr>
          <w:ilvl w:val="0"/>
          <w:numId w:val="3"/>
        </w:numPr>
      </w:pPr>
      <w:r>
        <w:t>Telephone consultations</w:t>
      </w:r>
    </w:p>
    <w:p w:rsidR="00660F01" w:rsidRDefault="00C34AA5">
      <w:pPr>
        <w:pStyle w:val="Compact"/>
        <w:numPr>
          <w:ilvl w:val="0"/>
          <w:numId w:val="3"/>
        </w:numPr>
      </w:pPr>
      <w:r>
        <w:t>Extended access appointments</w:t>
      </w:r>
    </w:p>
    <w:p w:rsidR="00660F01" w:rsidRDefault="00C34AA5">
      <w:pPr>
        <w:pStyle w:val="Compact"/>
        <w:numPr>
          <w:ilvl w:val="0"/>
          <w:numId w:val="3"/>
        </w:numPr>
      </w:pPr>
      <w:r>
        <w:t>Any other booked clinical appointments provided by the practice</w:t>
      </w:r>
    </w:p>
    <w:p w:rsidR="00660F01" w:rsidRDefault="007A5945">
      <w:r>
        <w:pict>
          <v:rect id="_x0000_i1028" style="width:0;height:1.5pt" o:hralign="center" o:hrstd="t" o:hr="t"/>
        </w:pict>
      </w:r>
    </w:p>
    <w:p w:rsidR="00660F01" w:rsidRDefault="00C34AA5">
      <w:pPr>
        <w:pStyle w:val="Heading1"/>
      </w:pPr>
      <w:bookmarkStart w:id="9" w:name="definitions"/>
      <w:bookmarkEnd w:id="8"/>
      <w:r>
        <w:t>4. Definitions</w:t>
      </w:r>
    </w:p>
    <w:p w:rsidR="00660F01" w:rsidRDefault="00C34AA5">
      <w:pPr>
        <w:pStyle w:val="FirstParagraph"/>
      </w:pPr>
      <w:r>
        <w:t>A Did Not Attend (DNA) occurs when:</w:t>
      </w:r>
    </w:p>
    <w:p w:rsidR="00660F01" w:rsidRDefault="00C34AA5">
      <w:pPr>
        <w:pStyle w:val="Compact"/>
        <w:numPr>
          <w:ilvl w:val="0"/>
          <w:numId w:val="4"/>
        </w:numPr>
      </w:pPr>
      <w:r>
        <w:t>A patient fails to attend a booked appointment without informing the practice in advance; or</w:t>
      </w:r>
    </w:p>
    <w:p w:rsidR="00660F01" w:rsidRDefault="00C34AA5">
      <w:pPr>
        <w:pStyle w:val="Compact"/>
        <w:numPr>
          <w:ilvl w:val="0"/>
          <w:numId w:val="4"/>
        </w:numPr>
      </w:pPr>
      <w:r>
        <w:t>A patient cancels too late for the appointment slot to be offered to another patient.</w:t>
      </w:r>
    </w:p>
    <w:p w:rsidR="00660F01" w:rsidRDefault="007A5945">
      <w:r>
        <w:pict>
          <v:rect id="_x0000_i1029" style="width:0;height:1.5pt" o:hralign="center" o:hrstd="t" o:hr="t"/>
        </w:pict>
      </w:r>
    </w:p>
    <w:p w:rsidR="00660F01" w:rsidRDefault="00C34AA5">
      <w:pPr>
        <w:pStyle w:val="Heading1"/>
      </w:pPr>
      <w:bookmarkStart w:id="10" w:name="patient-responsibilities"/>
      <w:bookmarkEnd w:id="9"/>
      <w:r>
        <w:t>5. Patient Responsibilities</w:t>
      </w:r>
    </w:p>
    <w:p w:rsidR="00660F01" w:rsidRDefault="00C34AA5">
      <w:pPr>
        <w:pStyle w:val="FirstParagraph"/>
      </w:pPr>
      <w:r>
        <w:t>Patients are expected to:</w:t>
      </w:r>
    </w:p>
    <w:p w:rsidR="00660F01" w:rsidRDefault="00C34AA5">
      <w:pPr>
        <w:pStyle w:val="Compact"/>
        <w:numPr>
          <w:ilvl w:val="0"/>
          <w:numId w:val="5"/>
        </w:numPr>
      </w:pPr>
      <w:r>
        <w:t>Attend all booked appointments on time.</w:t>
      </w:r>
    </w:p>
    <w:p w:rsidR="00660F01" w:rsidRDefault="00C34AA5">
      <w:pPr>
        <w:pStyle w:val="Compact"/>
        <w:numPr>
          <w:ilvl w:val="0"/>
          <w:numId w:val="5"/>
        </w:numPr>
      </w:pPr>
      <w:r>
        <w:t>Inform the practice as soon as possible if they are unable to attend.</w:t>
      </w:r>
    </w:p>
    <w:p w:rsidR="00660F01" w:rsidRDefault="00C34AA5">
      <w:pPr>
        <w:pStyle w:val="Compact"/>
        <w:numPr>
          <w:ilvl w:val="0"/>
          <w:numId w:val="5"/>
        </w:numPr>
      </w:pPr>
      <w:r>
        <w:t>Provide up-to-date contact details, including mobile telephone numbers where possible.</w:t>
      </w:r>
    </w:p>
    <w:p w:rsidR="00660F01" w:rsidRDefault="00C34AA5">
      <w:pPr>
        <w:pStyle w:val="Compact"/>
        <w:numPr>
          <w:ilvl w:val="0"/>
          <w:numId w:val="5"/>
        </w:numPr>
      </w:pPr>
      <w:r>
        <w:t>Respond to appointment reminders where appropriate.</w:t>
      </w:r>
    </w:p>
    <w:p w:rsidR="00660F01" w:rsidRDefault="00C34AA5">
      <w:pPr>
        <w:pStyle w:val="FirstParagraph"/>
      </w:pPr>
      <w:r>
        <w:t>Patients can cancel appointments by:</w:t>
      </w:r>
    </w:p>
    <w:p w:rsidR="00660F01" w:rsidRDefault="00C34AA5">
      <w:pPr>
        <w:pStyle w:val="Compact"/>
        <w:numPr>
          <w:ilvl w:val="0"/>
          <w:numId w:val="6"/>
        </w:numPr>
      </w:pPr>
      <w:r>
        <w:t>Telephone</w:t>
      </w:r>
    </w:p>
    <w:p w:rsidR="00660F01" w:rsidRDefault="00C34AA5">
      <w:pPr>
        <w:pStyle w:val="Compact"/>
        <w:numPr>
          <w:ilvl w:val="0"/>
          <w:numId w:val="6"/>
        </w:numPr>
      </w:pPr>
      <w:r>
        <w:t>NHS App or online services (where available)</w:t>
      </w:r>
    </w:p>
    <w:p w:rsidR="00660F01" w:rsidRDefault="00C34AA5">
      <w:pPr>
        <w:pStyle w:val="Compact"/>
        <w:numPr>
          <w:ilvl w:val="0"/>
          <w:numId w:val="6"/>
        </w:numPr>
      </w:pPr>
      <w:r>
        <w:t>In person at reception</w:t>
      </w:r>
    </w:p>
    <w:p w:rsidR="00660F01" w:rsidRDefault="00C34AA5">
      <w:pPr>
        <w:pStyle w:val="Compact"/>
        <w:numPr>
          <w:ilvl w:val="0"/>
          <w:numId w:val="6"/>
        </w:numPr>
      </w:pPr>
      <w:r>
        <w:lastRenderedPageBreak/>
        <w:t>Text message cancellation service (if available)</w:t>
      </w:r>
    </w:p>
    <w:p w:rsidR="00660F01" w:rsidRDefault="007A5945">
      <w:r>
        <w:pict>
          <v:rect id="_x0000_i1030" style="width:0;height:1.5pt" o:hralign="center" o:hrstd="t" o:hr="t"/>
        </w:pict>
      </w:r>
    </w:p>
    <w:p w:rsidR="00660F01" w:rsidRDefault="00C34AA5">
      <w:pPr>
        <w:pStyle w:val="Heading1"/>
      </w:pPr>
      <w:bookmarkStart w:id="11" w:name="appointment-reminders"/>
      <w:bookmarkEnd w:id="10"/>
      <w:r>
        <w:t>6. Appointment Reminders</w:t>
      </w:r>
    </w:p>
    <w:p w:rsidR="00660F01" w:rsidRDefault="00C34AA5">
      <w:pPr>
        <w:pStyle w:val="FirstParagraph"/>
      </w:pPr>
      <w:r>
        <w:t>The practice may send text message reminders for appointments where a valid mobile telephone number has been provided.</w:t>
      </w:r>
    </w:p>
    <w:p w:rsidR="00660F01" w:rsidRDefault="00C34AA5">
      <w:pPr>
        <w:pStyle w:val="BodyText"/>
      </w:pPr>
      <w:r>
        <w:t>Following a missed appointment, patients may receive a text message reminding them:</w:t>
      </w:r>
    </w:p>
    <w:p w:rsidR="00660F01" w:rsidRDefault="00C34AA5">
      <w:pPr>
        <w:pStyle w:val="Compact"/>
        <w:numPr>
          <w:ilvl w:val="0"/>
          <w:numId w:val="7"/>
        </w:numPr>
      </w:pPr>
      <w:r>
        <w:t>That they missed their appointment;</w:t>
      </w:r>
    </w:p>
    <w:p w:rsidR="00660F01" w:rsidRDefault="00C34AA5">
      <w:pPr>
        <w:pStyle w:val="Compact"/>
        <w:numPr>
          <w:ilvl w:val="0"/>
          <w:numId w:val="7"/>
        </w:numPr>
      </w:pPr>
      <w:r>
        <w:t>Of the importance of cancelling appointments they cannot attend; and</w:t>
      </w:r>
    </w:p>
    <w:p w:rsidR="00660F01" w:rsidRDefault="00C34AA5">
      <w:pPr>
        <w:pStyle w:val="Compact"/>
        <w:numPr>
          <w:ilvl w:val="0"/>
          <w:numId w:val="7"/>
        </w:numPr>
      </w:pPr>
      <w:r>
        <w:t>That repeated missed appointments may result in further action.</w:t>
      </w:r>
    </w:p>
    <w:p w:rsidR="00660F01" w:rsidRDefault="00C34AA5">
      <w:pPr>
        <w:pStyle w:val="FirstParagraph"/>
      </w:pPr>
      <w:r>
        <w:t>Text reminders are a courtesy service and non-receipt of a reminder does not remove the patient’s responsibility to attend or cancel appointments.</w:t>
      </w:r>
    </w:p>
    <w:p w:rsidR="00660F01" w:rsidRDefault="007A5945">
      <w:r>
        <w:pict>
          <v:rect id="_x0000_i1031" style="width:0;height:1.5pt" o:hralign="center" o:hrstd="t" o:hr="t"/>
        </w:pict>
      </w:r>
    </w:p>
    <w:p w:rsidR="00660F01" w:rsidRDefault="00C34AA5">
      <w:pPr>
        <w:pStyle w:val="Heading1"/>
      </w:pPr>
      <w:bookmarkStart w:id="12" w:name="management-of-missed-appointments"/>
      <w:bookmarkEnd w:id="11"/>
      <w:r>
        <w:t>7. Management of Missed Appointments</w:t>
      </w:r>
    </w:p>
    <w:p w:rsidR="00660F01" w:rsidRDefault="00C34AA5">
      <w:pPr>
        <w:pStyle w:val="Heading2"/>
      </w:pPr>
      <w:bookmarkStart w:id="13" w:name="first-and-second-dna"/>
      <w:r>
        <w:t>First and Second DNA</w:t>
      </w:r>
    </w:p>
    <w:p w:rsidR="00660F01" w:rsidRDefault="00C34AA5">
      <w:pPr>
        <w:pStyle w:val="FirstParagraph"/>
      </w:pPr>
      <w:r>
        <w:t>Following a missed appointment, the incident will be recorded in the patient’s medical record.</w:t>
      </w:r>
    </w:p>
    <w:p w:rsidR="00660F01" w:rsidRDefault="00C34AA5">
      <w:pPr>
        <w:pStyle w:val="BodyText"/>
      </w:pPr>
      <w:r>
        <w:t>Patients may receive:</w:t>
      </w:r>
    </w:p>
    <w:p w:rsidR="00660F01" w:rsidRDefault="00C34AA5">
      <w:pPr>
        <w:pStyle w:val="Compact"/>
        <w:numPr>
          <w:ilvl w:val="0"/>
          <w:numId w:val="8"/>
        </w:numPr>
      </w:pPr>
      <w:r>
        <w:t>A text message reminder; or</w:t>
      </w:r>
    </w:p>
    <w:p w:rsidR="00660F01" w:rsidRDefault="00C34AA5">
      <w:pPr>
        <w:pStyle w:val="Compact"/>
        <w:numPr>
          <w:ilvl w:val="0"/>
          <w:numId w:val="8"/>
        </w:numPr>
      </w:pPr>
      <w:r>
        <w:t>Verbal advice from reception staff regarding the importance of cancelling appointments.</w:t>
      </w:r>
    </w:p>
    <w:p w:rsidR="00660F01" w:rsidRDefault="00C34AA5">
      <w:pPr>
        <w:pStyle w:val="FirstParagraph"/>
      </w:pPr>
      <w:r>
        <w:t>The practice will consider any reasonable explanation provided by the patient.</w:t>
      </w:r>
    </w:p>
    <w:p w:rsidR="00660F01" w:rsidRDefault="00C34AA5">
      <w:pPr>
        <w:pStyle w:val="Heading2"/>
      </w:pPr>
      <w:bookmarkStart w:id="14" w:name="three-dnas-within-a-12-month-period"/>
      <w:bookmarkEnd w:id="13"/>
      <w:r>
        <w:t>Three DNAs Within a 12-Month Period</w:t>
      </w:r>
    </w:p>
    <w:p w:rsidR="00660F01" w:rsidRDefault="00C34AA5">
      <w:pPr>
        <w:pStyle w:val="FirstParagraph"/>
      </w:pPr>
      <w:r>
        <w:t>If a patient fails to attend three or more appointments within a rolling 12-month period without cancellation, the practice will issue a formal warning letter.</w:t>
      </w:r>
    </w:p>
    <w:p w:rsidR="00660F01" w:rsidRDefault="00C34AA5">
      <w:pPr>
        <w:pStyle w:val="BodyText"/>
      </w:pPr>
      <w:r>
        <w:t>The warning letter will:</w:t>
      </w:r>
    </w:p>
    <w:p w:rsidR="00660F01" w:rsidRDefault="00C34AA5">
      <w:pPr>
        <w:pStyle w:val="Compact"/>
        <w:numPr>
          <w:ilvl w:val="0"/>
          <w:numId w:val="9"/>
        </w:numPr>
      </w:pPr>
      <w:r>
        <w:t>Confirm the number of missed appointments;</w:t>
      </w:r>
    </w:p>
    <w:p w:rsidR="00660F01" w:rsidRDefault="00C34AA5">
      <w:pPr>
        <w:pStyle w:val="Compact"/>
        <w:numPr>
          <w:ilvl w:val="0"/>
          <w:numId w:val="9"/>
        </w:numPr>
      </w:pPr>
      <w:r>
        <w:t>Explain the impact of missed appointments on NHS services and other patients;</w:t>
      </w:r>
    </w:p>
    <w:p w:rsidR="00660F01" w:rsidRDefault="00C34AA5">
      <w:pPr>
        <w:pStyle w:val="Compact"/>
        <w:numPr>
          <w:ilvl w:val="0"/>
          <w:numId w:val="9"/>
        </w:numPr>
      </w:pPr>
      <w:r>
        <w:t>Remind the patient of their responsibility to cancel appointments; and</w:t>
      </w:r>
    </w:p>
    <w:p w:rsidR="00660F01" w:rsidRDefault="00C34AA5">
      <w:pPr>
        <w:pStyle w:val="Compact"/>
        <w:numPr>
          <w:ilvl w:val="0"/>
          <w:numId w:val="9"/>
        </w:numPr>
      </w:pPr>
      <w:r>
        <w:t>Advise that further missed appointments may result in removal from the practice list.</w:t>
      </w:r>
    </w:p>
    <w:p w:rsidR="00660F01" w:rsidRDefault="00C34AA5">
      <w:pPr>
        <w:pStyle w:val="FirstParagraph"/>
      </w:pPr>
      <w:r>
        <w:lastRenderedPageBreak/>
        <w:t>The practice may consider exceptional circumstances before issuing a warning letter, including:</w:t>
      </w:r>
    </w:p>
    <w:p w:rsidR="00660F01" w:rsidRDefault="00C34AA5">
      <w:pPr>
        <w:pStyle w:val="Compact"/>
        <w:numPr>
          <w:ilvl w:val="0"/>
          <w:numId w:val="10"/>
        </w:numPr>
      </w:pPr>
      <w:r>
        <w:t>Safeguarding concerns</w:t>
      </w:r>
    </w:p>
    <w:p w:rsidR="00660F01" w:rsidRDefault="00C34AA5">
      <w:pPr>
        <w:pStyle w:val="Compact"/>
        <w:numPr>
          <w:ilvl w:val="0"/>
          <w:numId w:val="10"/>
        </w:numPr>
      </w:pPr>
      <w:r>
        <w:t>Learning disabilities</w:t>
      </w:r>
    </w:p>
    <w:p w:rsidR="00660F01" w:rsidRDefault="00C34AA5">
      <w:pPr>
        <w:pStyle w:val="Compact"/>
        <w:numPr>
          <w:ilvl w:val="0"/>
          <w:numId w:val="10"/>
        </w:numPr>
      </w:pPr>
      <w:r>
        <w:t>Mental health conditions</w:t>
      </w:r>
    </w:p>
    <w:p w:rsidR="00660F01" w:rsidRDefault="00C34AA5">
      <w:pPr>
        <w:pStyle w:val="Compact"/>
        <w:numPr>
          <w:ilvl w:val="0"/>
          <w:numId w:val="10"/>
        </w:numPr>
      </w:pPr>
      <w:r>
        <w:t>Communication difficulties</w:t>
      </w:r>
    </w:p>
    <w:p w:rsidR="00660F01" w:rsidRDefault="00C34AA5">
      <w:pPr>
        <w:pStyle w:val="Compact"/>
        <w:numPr>
          <w:ilvl w:val="0"/>
          <w:numId w:val="10"/>
        </w:numPr>
      </w:pPr>
      <w:r>
        <w:t>Bereavement or significant personal circumstances</w:t>
      </w:r>
    </w:p>
    <w:p w:rsidR="00660F01" w:rsidRDefault="00C34AA5">
      <w:pPr>
        <w:pStyle w:val="Compact"/>
        <w:numPr>
          <w:ilvl w:val="0"/>
          <w:numId w:val="10"/>
        </w:numPr>
      </w:pPr>
      <w:r>
        <w:t>Circumstances outside the patient’s control</w:t>
      </w:r>
    </w:p>
    <w:p w:rsidR="00660F01" w:rsidRDefault="00C34AA5">
      <w:pPr>
        <w:pStyle w:val="FirstParagraph"/>
      </w:pPr>
      <w:r>
        <w:t>Reasonable adjustments will be considered where appropriate.</w:t>
      </w:r>
    </w:p>
    <w:p w:rsidR="00660F01" w:rsidRDefault="00C34AA5">
      <w:pPr>
        <w:pStyle w:val="Heading2"/>
      </w:pPr>
      <w:bookmarkStart w:id="15" w:name="further-dna-following-warning-letter"/>
      <w:bookmarkEnd w:id="14"/>
      <w:r>
        <w:t>Further DNA Following Warning Letter</w:t>
      </w:r>
    </w:p>
    <w:p w:rsidR="00660F01" w:rsidRDefault="00C34AA5">
      <w:pPr>
        <w:pStyle w:val="FirstParagraph"/>
      </w:pPr>
      <w:r>
        <w:t>If a patient misses a further appointment after receiving a formal warning letter, the practice may review whether there has been an irretrievable breakdown in the doctor–patient relationship.</w:t>
      </w:r>
    </w:p>
    <w:p w:rsidR="00660F01" w:rsidRDefault="00C34AA5">
      <w:pPr>
        <w:pStyle w:val="BodyText"/>
      </w:pPr>
      <w:r>
        <w:t>A decision regarding removal from the practice list will be made by the GP Partners and/or Practice Manager in line with NHS England guidance.</w:t>
      </w:r>
    </w:p>
    <w:p w:rsidR="00660F01" w:rsidRDefault="00C34AA5">
      <w:pPr>
        <w:pStyle w:val="BodyText"/>
      </w:pPr>
      <w:r>
        <w:t>If removal is approved, the patient will receive a final removal letter which will include:</w:t>
      </w:r>
    </w:p>
    <w:p w:rsidR="00660F01" w:rsidRDefault="00C34AA5">
      <w:pPr>
        <w:pStyle w:val="Compact"/>
        <w:numPr>
          <w:ilvl w:val="0"/>
          <w:numId w:val="11"/>
        </w:numPr>
      </w:pPr>
      <w:r>
        <w:t>Confirmation of removal from the practice list;</w:t>
      </w:r>
    </w:p>
    <w:p w:rsidR="00660F01" w:rsidRDefault="00C34AA5">
      <w:pPr>
        <w:pStyle w:val="Compact"/>
        <w:numPr>
          <w:ilvl w:val="0"/>
          <w:numId w:val="11"/>
        </w:numPr>
      </w:pPr>
      <w:r>
        <w:t>The reason for removal;</w:t>
      </w:r>
    </w:p>
    <w:p w:rsidR="00660F01" w:rsidRDefault="00C34AA5">
      <w:pPr>
        <w:pStyle w:val="Compact"/>
        <w:numPr>
          <w:ilvl w:val="0"/>
          <w:numId w:val="11"/>
        </w:numPr>
      </w:pPr>
      <w:r>
        <w:t>The date the removal takes effect;</w:t>
      </w:r>
    </w:p>
    <w:p w:rsidR="00660F01" w:rsidRDefault="00C34AA5">
      <w:pPr>
        <w:pStyle w:val="Compact"/>
        <w:numPr>
          <w:ilvl w:val="0"/>
          <w:numId w:val="11"/>
        </w:numPr>
      </w:pPr>
      <w:r>
        <w:t>Information on how to register with another GP practice; and</w:t>
      </w:r>
    </w:p>
    <w:p w:rsidR="00660F01" w:rsidRDefault="00C34AA5">
      <w:pPr>
        <w:pStyle w:val="Compact"/>
        <w:numPr>
          <w:ilvl w:val="0"/>
          <w:numId w:val="11"/>
        </w:numPr>
      </w:pPr>
      <w:r>
        <w:t>Details of any ongoing care arrangements where appropriate.</w:t>
      </w:r>
    </w:p>
    <w:p w:rsidR="00660F01" w:rsidRDefault="007A5945">
      <w:r>
        <w:pict>
          <v:rect id="_x0000_i1032" style="width:0;height:1.5pt" o:hralign="center" o:hrstd="t" o:hr="t"/>
        </w:pict>
      </w:r>
    </w:p>
    <w:p w:rsidR="00660F01" w:rsidRDefault="00C34AA5">
      <w:pPr>
        <w:pStyle w:val="Heading1"/>
      </w:pPr>
      <w:bookmarkStart w:id="16" w:name="safeguarding-and-equality-considerations"/>
      <w:bookmarkEnd w:id="15"/>
      <w:bookmarkEnd w:id="12"/>
      <w:r>
        <w:t>8. Safeguarding and Equality Considerations</w:t>
      </w:r>
    </w:p>
    <w:p w:rsidR="00660F01" w:rsidRDefault="00C34AA5">
      <w:pPr>
        <w:pStyle w:val="FirstParagraph"/>
      </w:pPr>
      <w:r>
        <w:t>The practice will not apply this policy unfairly or discriminatorily.</w:t>
      </w:r>
    </w:p>
    <w:p w:rsidR="00660F01" w:rsidRDefault="00C34AA5">
      <w:pPr>
        <w:pStyle w:val="BodyText"/>
      </w:pPr>
      <w:r>
        <w:t>Before any decision is made regarding removal from the practice list, consideration will be given to:</w:t>
      </w:r>
    </w:p>
    <w:p w:rsidR="00660F01" w:rsidRDefault="00C34AA5">
      <w:pPr>
        <w:pStyle w:val="Compact"/>
        <w:numPr>
          <w:ilvl w:val="0"/>
          <w:numId w:val="12"/>
        </w:numPr>
      </w:pPr>
      <w:r>
        <w:t>Vulnerable adults</w:t>
      </w:r>
    </w:p>
    <w:p w:rsidR="00660F01" w:rsidRDefault="00C34AA5">
      <w:pPr>
        <w:pStyle w:val="Compact"/>
        <w:numPr>
          <w:ilvl w:val="0"/>
          <w:numId w:val="12"/>
        </w:numPr>
      </w:pPr>
      <w:r>
        <w:t>Children and safeguarding concerns</w:t>
      </w:r>
    </w:p>
    <w:p w:rsidR="00660F01" w:rsidRDefault="00C34AA5">
      <w:pPr>
        <w:pStyle w:val="Compact"/>
        <w:numPr>
          <w:ilvl w:val="0"/>
          <w:numId w:val="12"/>
        </w:numPr>
      </w:pPr>
      <w:r>
        <w:t>Patients with disabilities</w:t>
      </w:r>
    </w:p>
    <w:p w:rsidR="00660F01" w:rsidRDefault="00C34AA5">
      <w:pPr>
        <w:pStyle w:val="Compact"/>
        <w:numPr>
          <w:ilvl w:val="0"/>
          <w:numId w:val="12"/>
        </w:numPr>
      </w:pPr>
      <w:r>
        <w:t>Patients with mental health conditions</w:t>
      </w:r>
    </w:p>
    <w:p w:rsidR="00660F01" w:rsidRDefault="00C34AA5">
      <w:pPr>
        <w:pStyle w:val="Compact"/>
        <w:numPr>
          <w:ilvl w:val="0"/>
          <w:numId w:val="12"/>
        </w:numPr>
      </w:pPr>
      <w:r>
        <w:t>Patients with communication or language barriers</w:t>
      </w:r>
    </w:p>
    <w:p w:rsidR="00660F01" w:rsidRDefault="00C34AA5">
      <w:pPr>
        <w:pStyle w:val="Compact"/>
        <w:numPr>
          <w:ilvl w:val="0"/>
          <w:numId w:val="12"/>
        </w:numPr>
      </w:pPr>
      <w:r>
        <w:t>Equality Act 2010 obligations</w:t>
      </w:r>
    </w:p>
    <w:p w:rsidR="00660F01" w:rsidRDefault="00C34AA5">
      <w:pPr>
        <w:pStyle w:val="FirstParagraph"/>
      </w:pPr>
      <w:r>
        <w:t>The practice will make reasonable adjustments where required.</w:t>
      </w:r>
    </w:p>
    <w:p w:rsidR="00660F01" w:rsidRDefault="007A5945">
      <w:r>
        <w:lastRenderedPageBreak/>
        <w:pict>
          <v:rect id="_x0000_i1033" style="width:0;height:1.5pt" o:hralign="center" o:hrstd="t" o:hr="t"/>
        </w:pict>
      </w:r>
    </w:p>
    <w:p w:rsidR="00660F01" w:rsidRDefault="00C34AA5">
      <w:pPr>
        <w:pStyle w:val="Heading1"/>
      </w:pPr>
      <w:bookmarkStart w:id="17" w:name="children-and-young-people"/>
      <w:bookmarkEnd w:id="16"/>
      <w:r>
        <w:t>9. Children and Young People</w:t>
      </w:r>
    </w:p>
    <w:p w:rsidR="00660F01" w:rsidRDefault="00C34AA5">
      <w:pPr>
        <w:pStyle w:val="FirstParagraph"/>
      </w:pPr>
      <w:r>
        <w:t>Children under the age of 16 will not normally be removed from the practice list solely due to missed appointments.</w:t>
      </w:r>
    </w:p>
    <w:p w:rsidR="00660F01" w:rsidRDefault="00C34AA5">
      <w:pPr>
        <w:pStyle w:val="BodyText"/>
      </w:pPr>
      <w:r>
        <w:t>Where repeated non-attendance raises safeguarding concerns, the practice may follow safeguarding procedures and liaise with relevant agencies as appropriate.</w:t>
      </w:r>
    </w:p>
    <w:p w:rsidR="00660F01" w:rsidRDefault="007A5945">
      <w:r>
        <w:pict>
          <v:rect id="_x0000_i1034" style="width:0;height:1.5pt" o:hralign="center" o:hrstd="t" o:hr="t"/>
        </w:pict>
      </w:r>
    </w:p>
    <w:p w:rsidR="00660F01" w:rsidRDefault="00C34AA5">
      <w:pPr>
        <w:pStyle w:val="Heading1"/>
      </w:pPr>
      <w:bookmarkStart w:id="18" w:name="recording-and-monitoring"/>
      <w:bookmarkEnd w:id="17"/>
      <w:r>
        <w:t>10. Recording and Monitoring</w:t>
      </w:r>
    </w:p>
    <w:p w:rsidR="00660F01" w:rsidRDefault="00C34AA5">
      <w:pPr>
        <w:pStyle w:val="FirstParagraph"/>
      </w:pPr>
      <w:r>
        <w:t>All missed appointments will be recorded on the clinical system.</w:t>
      </w:r>
    </w:p>
    <w:p w:rsidR="00660F01" w:rsidRDefault="00C34AA5">
      <w:pPr>
        <w:pStyle w:val="BodyText"/>
      </w:pPr>
      <w:r>
        <w:t>The practice will periodically review DNA rates to:</w:t>
      </w:r>
    </w:p>
    <w:p w:rsidR="00660F01" w:rsidRDefault="00C34AA5">
      <w:pPr>
        <w:pStyle w:val="Compact"/>
        <w:numPr>
          <w:ilvl w:val="0"/>
          <w:numId w:val="13"/>
        </w:numPr>
      </w:pPr>
      <w:r>
        <w:t>Identify patterns or trends;</w:t>
      </w:r>
    </w:p>
    <w:p w:rsidR="00660F01" w:rsidRDefault="00C34AA5">
      <w:pPr>
        <w:pStyle w:val="Compact"/>
        <w:numPr>
          <w:ilvl w:val="0"/>
          <w:numId w:val="13"/>
        </w:numPr>
      </w:pPr>
      <w:r>
        <w:t>Support service improvement; and</w:t>
      </w:r>
    </w:p>
    <w:p w:rsidR="00660F01" w:rsidRDefault="00C34AA5">
      <w:pPr>
        <w:pStyle w:val="Compact"/>
        <w:numPr>
          <w:ilvl w:val="0"/>
          <w:numId w:val="13"/>
        </w:numPr>
      </w:pPr>
      <w:r>
        <w:t>Ensure consistent application of this policy.</w:t>
      </w:r>
    </w:p>
    <w:p w:rsidR="00660F01" w:rsidRDefault="007A5945">
      <w:r>
        <w:pict>
          <v:rect id="_x0000_i1035" style="width:0;height:1.5pt" o:hralign="center" o:hrstd="t" o:hr="t"/>
        </w:pict>
      </w:r>
    </w:p>
    <w:p w:rsidR="00660F01" w:rsidRDefault="00C34AA5">
      <w:pPr>
        <w:pStyle w:val="Heading1"/>
      </w:pPr>
      <w:bookmarkStart w:id="19" w:name="related-policies-and-guidance"/>
      <w:bookmarkEnd w:id="18"/>
      <w:r>
        <w:t>11. Related Policies and Guidance</w:t>
      </w:r>
    </w:p>
    <w:p w:rsidR="00660F01" w:rsidRDefault="00C34AA5">
      <w:pPr>
        <w:pStyle w:val="FirstParagraph"/>
      </w:pPr>
      <w:r>
        <w:t>This policy should be read alongside:</w:t>
      </w:r>
    </w:p>
    <w:p w:rsidR="00660F01" w:rsidRDefault="00C34AA5">
      <w:pPr>
        <w:pStyle w:val="Compact"/>
        <w:numPr>
          <w:ilvl w:val="0"/>
          <w:numId w:val="14"/>
        </w:numPr>
      </w:pPr>
      <w:r>
        <w:t>NHS Constitution</w:t>
      </w:r>
    </w:p>
    <w:p w:rsidR="00660F01" w:rsidRDefault="00C34AA5">
      <w:pPr>
        <w:pStyle w:val="Compact"/>
        <w:numPr>
          <w:ilvl w:val="0"/>
          <w:numId w:val="14"/>
        </w:numPr>
      </w:pPr>
      <w:r>
        <w:t>NHS England guidance on reducing Did Not Attends (DNAs)</w:t>
      </w:r>
    </w:p>
    <w:p w:rsidR="00660F01" w:rsidRDefault="00C34AA5">
      <w:pPr>
        <w:pStyle w:val="Compact"/>
        <w:numPr>
          <w:ilvl w:val="0"/>
          <w:numId w:val="14"/>
        </w:numPr>
      </w:pPr>
      <w:r>
        <w:t>NHS England Primary Medical Care Policy and Guidance Manual</w:t>
      </w:r>
    </w:p>
    <w:p w:rsidR="00660F01" w:rsidRDefault="00C34AA5">
      <w:pPr>
        <w:pStyle w:val="Compact"/>
        <w:numPr>
          <w:ilvl w:val="0"/>
          <w:numId w:val="14"/>
        </w:numPr>
      </w:pPr>
      <w:r>
        <w:t>Practice Access Policy</w:t>
      </w:r>
    </w:p>
    <w:p w:rsidR="00660F01" w:rsidRDefault="00C34AA5">
      <w:pPr>
        <w:pStyle w:val="Compact"/>
        <w:numPr>
          <w:ilvl w:val="0"/>
          <w:numId w:val="14"/>
        </w:numPr>
      </w:pPr>
      <w:r>
        <w:t>Safeguarding Policies</w:t>
      </w:r>
    </w:p>
    <w:p w:rsidR="00660F01" w:rsidRDefault="00C34AA5">
      <w:pPr>
        <w:pStyle w:val="Compact"/>
        <w:numPr>
          <w:ilvl w:val="0"/>
          <w:numId w:val="14"/>
        </w:numPr>
      </w:pPr>
      <w:r>
        <w:t>Equality and Diversity Policy</w:t>
      </w:r>
    </w:p>
    <w:p w:rsidR="00660F01" w:rsidRDefault="007A5945">
      <w:r>
        <w:pict>
          <v:rect id="_x0000_i1036" style="width:0;height:1.5pt" o:hralign="center" o:hrstd="t" o:hr="t"/>
        </w:pict>
      </w:r>
    </w:p>
    <w:p w:rsidR="00660F01" w:rsidRDefault="00C34AA5">
      <w:pPr>
        <w:pStyle w:val="Heading1"/>
      </w:pPr>
      <w:bookmarkStart w:id="20" w:name="policy-review"/>
      <w:bookmarkEnd w:id="19"/>
      <w:r>
        <w:t>12. Policy Review</w:t>
      </w:r>
    </w:p>
    <w:p w:rsidR="00660F01" w:rsidRDefault="00C34AA5">
      <w:pPr>
        <w:pStyle w:val="FirstParagraph"/>
      </w:pPr>
      <w:r>
        <w:t>This policy will be reviewed annually or sooner if changes occur in NHS guidance, contractual requirements, or practice procedures.</w:t>
      </w:r>
    </w:p>
    <w:p w:rsidR="00660F01" w:rsidRDefault="007A5945">
      <w:r>
        <w:pict>
          <v:rect id="_x0000_i1037" style="width:0;height:1.5pt" o:hralign="center" o:hrstd="t" o:hr="t"/>
        </w:pict>
      </w:r>
    </w:p>
    <w:p w:rsidR="00660F01" w:rsidRDefault="00C34AA5">
      <w:pPr>
        <w:pStyle w:val="Heading1"/>
      </w:pPr>
      <w:bookmarkStart w:id="21" w:name="summary-for-patients"/>
      <w:bookmarkEnd w:id="20"/>
      <w:r>
        <w:lastRenderedPageBreak/>
        <w:t>13. Summary for Patients</w:t>
      </w:r>
    </w:p>
    <w:p w:rsidR="00660F01" w:rsidRDefault="00C34AA5">
      <w:pPr>
        <w:pStyle w:val="FirstParagraph"/>
      </w:pPr>
      <w:r>
        <w:t>Patients are asked to attend all appointments or cancel them as soon as possible if they can no longer attend. Missed appointments waste valuable NHS resources and prevent other patients from accessing care.</w:t>
      </w:r>
    </w:p>
    <w:p w:rsidR="00660F01" w:rsidRDefault="00C34AA5">
      <w:pPr>
        <w:pStyle w:val="BodyText"/>
      </w:pPr>
      <w:r>
        <w:t>Patients who repeatedly fail to attend appointments without cancelling may receive warning letters and could ultimately be removed from the practice list in accordance with NHS guidance and practice procedures.</w:t>
      </w:r>
    </w:p>
    <w:p w:rsidR="00660F01" w:rsidRDefault="007A5945">
      <w:r>
        <w:pict>
          <v:rect id="_x0000_i1038" style="width:0;height:1.5pt" o:hralign="center" o:hrstd="t" o:hr="t"/>
        </w:pict>
      </w:r>
    </w:p>
    <w:p w:rsidR="00660F01" w:rsidRDefault="00C34AA5">
      <w:pPr>
        <w:pStyle w:val="Heading2"/>
      </w:pPr>
      <w:bookmarkStart w:id="22" w:name="references"/>
      <w:r>
        <w:t>References</w:t>
      </w:r>
    </w:p>
    <w:p w:rsidR="00660F01" w:rsidRDefault="00C34AA5">
      <w:pPr>
        <w:pStyle w:val="Compact"/>
        <w:numPr>
          <w:ilvl w:val="0"/>
          <w:numId w:val="15"/>
        </w:numPr>
      </w:pPr>
      <w:r>
        <w:t>NHS England: Reducing Did Not Attends (DNAs) in outpatient services</w:t>
      </w:r>
    </w:p>
    <w:p w:rsidR="00660F01" w:rsidRDefault="00C34AA5">
      <w:pPr>
        <w:pStyle w:val="Compact"/>
        <w:numPr>
          <w:ilvl w:val="0"/>
          <w:numId w:val="15"/>
        </w:numPr>
      </w:pPr>
      <w:r>
        <w:t>NHS Appointments and Bookings Guidance</w:t>
      </w:r>
    </w:p>
    <w:p w:rsidR="00660F01" w:rsidRDefault="00C34AA5">
      <w:pPr>
        <w:pStyle w:val="Compact"/>
        <w:numPr>
          <w:ilvl w:val="0"/>
          <w:numId w:val="15"/>
        </w:numPr>
      </w:pPr>
      <w:r>
        <w:t>PCSE Patient Removal Guidance</w:t>
      </w:r>
    </w:p>
    <w:p w:rsidR="00660F01" w:rsidRDefault="00C34AA5">
      <w:pPr>
        <w:pStyle w:val="Compact"/>
        <w:numPr>
          <w:ilvl w:val="0"/>
          <w:numId w:val="15"/>
        </w:numPr>
      </w:pPr>
      <w:r>
        <w:t>NHS England Primary Medical Care Policy and Guidance Manual</w:t>
      </w:r>
    </w:p>
    <w:bookmarkEnd w:id="22"/>
    <w:bookmarkEnd w:id="21"/>
    <w:sectPr w:rsidR="00660F01">
      <w:head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1C2" w:rsidRDefault="00D401C2" w:rsidP="00D401C2">
      <w:pPr>
        <w:spacing w:after="0"/>
      </w:pPr>
      <w:r>
        <w:separator/>
      </w:r>
    </w:p>
  </w:endnote>
  <w:endnote w:type="continuationSeparator" w:id="0">
    <w:p w:rsidR="00D401C2" w:rsidRDefault="00D401C2" w:rsidP="00D40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1C2" w:rsidRDefault="00D401C2" w:rsidP="00D401C2">
      <w:pPr>
        <w:spacing w:after="0"/>
      </w:pPr>
      <w:r>
        <w:separator/>
      </w:r>
    </w:p>
  </w:footnote>
  <w:footnote w:type="continuationSeparator" w:id="0">
    <w:p w:rsidR="00D401C2" w:rsidRDefault="00D401C2" w:rsidP="00D40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1C2" w:rsidRDefault="00D401C2">
    <w:pPr>
      <w:pStyle w:val="Header"/>
    </w:pPr>
    <w:r w:rsidRPr="00DA4A88">
      <w:rPr>
        <w:noProof/>
        <w:lang w:eastAsia="en-GB"/>
      </w:rPr>
      <w:drawing>
        <wp:anchor distT="0" distB="0" distL="114300" distR="114300" simplePos="0" relativeHeight="251659264" behindDoc="1" locked="0" layoutInCell="1" allowOverlap="1" wp14:anchorId="56A74521" wp14:editId="6A13EBD0">
          <wp:simplePos x="0" y="0"/>
          <wp:positionH relativeFrom="page">
            <wp:align>right</wp:align>
          </wp:positionH>
          <wp:positionV relativeFrom="topMargin">
            <wp:align>bottom</wp:align>
          </wp:positionV>
          <wp:extent cx="1590675" cy="847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847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C0E496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D30C99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01"/>
    <w:rsid w:val="00660F01"/>
    <w:rsid w:val="007A5945"/>
    <w:rsid w:val="009A5414"/>
    <w:rsid w:val="00C34AA5"/>
    <w:rsid w:val="00D4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B1AAB"/>
  <w15:docId w15:val="{F84D3B31-BB17-4559-B98C-339BE01E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D401C2"/>
    <w:pPr>
      <w:tabs>
        <w:tab w:val="center" w:pos="4513"/>
        <w:tab w:val="right" w:pos="9026"/>
      </w:tabs>
      <w:spacing w:after="0"/>
    </w:pPr>
  </w:style>
  <w:style w:type="character" w:customStyle="1" w:styleId="HeaderChar">
    <w:name w:val="Header Char"/>
    <w:basedOn w:val="DefaultParagraphFont"/>
    <w:link w:val="Header"/>
    <w:rsid w:val="00D401C2"/>
  </w:style>
  <w:style w:type="paragraph" w:styleId="Footer">
    <w:name w:val="footer"/>
    <w:basedOn w:val="Normal"/>
    <w:link w:val="FooterChar"/>
    <w:unhideWhenUsed/>
    <w:rsid w:val="00D401C2"/>
    <w:pPr>
      <w:tabs>
        <w:tab w:val="center" w:pos="4513"/>
        <w:tab w:val="right" w:pos="9026"/>
      </w:tabs>
      <w:spacing w:after="0"/>
    </w:pPr>
  </w:style>
  <w:style w:type="character" w:customStyle="1" w:styleId="FooterChar">
    <w:name w:val="Footer Char"/>
    <w:basedOn w:val="DefaultParagraphFont"/>
    <w:link w:val="Footer"/>
    <w:rsid w:val="00D401C2"/>
  </w:style>
  <w:style w:type="paragraph" w:styleId="NormalWeb">
    <w:name w:val="Normal (Web)"/>
    <w:basedOn w:val="Normal"/>
    <w:uiPriority w:val="99"/>
    <w:semiHidden/>
    <w:unhideWhenUsed/>
    <w:rsid w:val="00D401C2"/>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Payne Denise (Oakfield Health Centre)</dc:creator>
  <cp:keywords/>
  <cp:lastModifiedBy>Newman Alice (Oakfield Health Centre)</cp:lastModifiedBy>
  <cp:revision>3</cp:revision>
  <dcterms:created xsi:type="dcterms:W3CDTF">2026-05-07T12:22:00Z</dcterms:created>
  <dcterms:modified xsi:type="dcterms:W3CDTF">2026-05-07T13:20:00Z</dcterms:modified>
</cp:coreProperties>
</file>